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9D" w:rsidRDefault="003801E3">
      <w:pPr>
        <w:ind w:left="360" w:right="180"/>
        <w:jc w:val="center"/>
        <w:rPr>
          <w:rFonts w:ascii="Cambria" w:eastAsia="Cambria" w:hAnsi="Cambria" w:cs="Cambria"/>
          <w:color w:val="FF0000"/>
          <w:sz w:val="28"/>
          <w:szCs w:val="28"/>
        </w:rPr>
      </w:pPr>
      <w:r>
        <w:rPr>
          <w:rFonts w:ascii="Cambria" w:eastAsia="Cambria" w:hAnsi="Cambria" w:cs="Cambria"/>
          <w:noProof/>
          <w:color w:val="FF0000"/>
          <w:sz w:val="28"/>
          <w:szCs w:val="28"/>
        </w:rPr>
        <w:drawing>
          <wp:inline distT="0" distB="0" distL="0" distR="0">
            <wp:extent cx="4429125" cy="1028700"/>
            <wp:effectExtent l="0" t="0" r="0" b="0"/>
            <wp:docPr id="4" name="image1.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1.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CC009D" w:rsidRDefault="003801E3">
      <w:pPr>
        <w:ind w:left="360" w:right="180"/>
        <w:jc w:val="center"/>
        <w:rPr>
          <w:rFonts w:ascii="Cambria" w:eastAsia="Cambria" w:hAnsi="Cambria" w:cs="Cambria"/>
          <w:sz w:val="28"/>
          <w:szCs w:val="28"/>
        </w:rPr>
      </w:pPr>
      <w:r>
        <w:rPr>
          <w:rFonts w:ascii="Cambria" w:eastAsia="Cambria" w:hAnsi="Cambria" w:cs="Cambria"/>
          <w:sz w:val="28"/>
          <w:szCs w:val="28"/>
        </w:rPr>
        <w:t xml:space="preserve">Russell O. Brackman Middle School </w:t>
      </w:r>
    </w:p>
    <w:p w:rsidR="00CC009D" w:rsidRDefault="003801E3">
      <w:pPr>
        <w:ind w:left="360" w:right="180"/>
        <w:jc w:val="center"/>
        <w:rPr>
          <w:rFonts w:ascii="Cambria" w:eastAsia="Cambria" w:hAnsi="Cambria" w:cs="Cambria"/>
          <w:sz w:val="28"/>
          <w:szCs w:val="28"/>
        </w:rPr>
      </w:pPr>
      <w:r>
        <w:rPr>
          <w:rFonts w:ascii="Cambria" w:eastAsia="Cambria" w:hAnsi="Cambria" w:cs="Cambria"/>
          <w:sz w:val="28"/>
          <w:szCs w:val="28"/>
        </w:rPr>
        <w:t>Pre-Algebra Syllabus</w:t>
      </w:r>
    </w:p>
    <w:p w:rsidR="00CC009D" w:rsidRDefault="003801E3">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43675" cy="19050"/>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p>
    <w:p w:rsidR="00CC009D" w:rsidRDefault="003801E3">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43675" cy="19050"/>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43675" cy="19050"/>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CC009D">
        <w:trPr>
          <w:trHeight w:val="240"/>
        </w:trPr>
        <w:tc>
          <w:tcPr>
            <w:tcW w:w="4704" w:type="dxa"/>
          </w:tcPr>
          <w:p w:rsidR="00CC009D" w:rsidRDefault="003801E3">
            <w:pPr>
              <w:ind w:left="360" w:right="180"/>
              <w:rPr>
                <w:rFonts w:ascii="Cambria" w:eastAsia="Cambria" w:hAnsi="Cambria" w:cs="Cambria"/>
                <w:b/>
                <w:sz w:val="22"/>
                <w:szCs w:val="22"/>
              </w:rPr>
            </w:pPr>
            <w:r>
              <w:rPr>
                <w:rFonts w:ascii="Cambria" w:eastAsia="Cambria" w:hAnsi="Cambria" w:cs="Cambria"/>
                <w:b/>
                <w:sz w:val="22"/>
                <w:szCs w:val="22"/>
              </w:rPr>
              <w:t>Course Information</w:t>
            </w:r>
          </w:p>
        </w:tc>
        <w:tc>
          <w:tcPr>
            <w:tcW w:w="5376" w:type="dxa"/>
          </w:tcPr>
          <w:p w:rsidR="00CC009D" w:rsidRDefault="003801E3">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CC009D">
        <w:trPr>
          <w:trHeight w:val="240"/>
        </w:trPr>
        <w:tc>
          <w:tcPr>
            <w:tcW w:w="4704"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Pre-Algebra</w:t>
            </w:r>
          </w:p>
        </w:tc>
        <w:tc>
          <w:tcPr>
            <w:tcW w:w="5376"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Name(s): Derek Rizzo</w:t>
            </w:r>
          </w:p>
        </w:tc>
      </w:tr>
      <w:tr w:rsidR="00CC009D">
        <w:trPr>
          <w:trHeight w:val="240"/>
        </w:trPr>
        <w:tc>
          <w:tcPr>
            <w:tcW w:w="4704"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 xml:space="preserve">Full Year </w:t>
            </w:r>
          </w:p>
        </w:tc>
        <w:tc>
          <w:tcPr>
            <w:tcW w:w="5376"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Phone:  609-698-5880 ext. 40</w:t>
            </w:r>
            <w:r>
              <w:rPr>
                <w:rFonts w:ascii="Cambria" w:eastAsia="Cambria" w:hAnsi="Cambria" w:cs="Cambria"/>
                <w:sz w:val="22"/>
                <w:szCs w:val="22"/>
              </w:rPr>
              <w:t>30</w:t>
            </w:r>
            <w:bookmarkStart w:id="0" w:name="_GoBack"/>
            <w:bookmarkEnd w:id="0"/>
          </w:p>
        </w:tc>
      </w:tr>
      <w:tr w:rsidR="00CC009D">
        <w:trPr>
          <w:trHeight w:val="240"/>
        </w:trPr>
        <w:tc>
          <w:tcPr>
            <w:tcW w:w="4704"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Class Location: Room # N121</w:t>
            </w:r>
          </w:p>
        </w:tc>
        <w:tc>
          <w:tcPr>
            <w:tcW w:w="5376"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Email: drizzo@barnegatschools.com</w:t>
            </w:r>
          </w:p>
        </w:tc>
      </w:tr>
      <w:tr w:rsidR="00CC009D">
        <w:trPr>
          <w:trHeight w:val="440"/>
        </w:trPr>
        <w:tc>
          <w:tcPr>
            <w:tcW w:w="4704" w:type="dxa"/>
          </w:tcPr>
          <w:p w:rsidR="00CC009D" w:rsidRDefault="00CC009D">
            <w:pPr>
              <w:ind w:left="360" w:right="180"/>
              <w:rPr>
                <w:rFonts w:ascii="Cambria" w:eastAsia="Cambria" w:hAnsi="Cambria" w:cs="Cambria"/>
                <w:sz w:val="22"/>
                <w:szCs w:val="22"/>
              </w:rPr>
            </w:pPr>
          </w:p>
        </w:tc>
        <w:tc>
          <w:tcPr>
            <w:tcW w:w="5376" w:type="dxa"/>
          </w:tcPr>
          <w:p w:rsidR="00CC009D" w:rsidRDefault="00CC009D">
            <w:pPr>
              <w:ind w:left="360" w:right="180"/>
              <w:rPr>
                <w:rFonts w:ascii="Cambria" w:eastAsia="Cambria" w:hAnsi="Cambria" w:cs="Cambria"/>
                <w:sz w:val="22"/>
                <w:szCs w:val="22"/>
              </w:rPr>
            </w:pPr>
          </w:p>
        </w:tc>
      </w:tr>
    </w:tbl>
    <w:p w:rsidR="00CC009D" w:rsidRDefault="003801E3">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CC009D">
        <w:trPr>
          <w:trHeight w:val="1080"/>
        </w:trPr>
        <w:tc>
          <w:tcPr>
            <w:tcW w:w="10152" w:type="dxa"/>
          </w:tcPr>
          <w:p w:rsidR="00CC009D" w:rsidRDefault="003801E3">
            <w:pPr>
              <w:ind w:left="-30" w:right="180"/>
              <w:rPr>
                <w:b/>
              </w:rPr>
            </w:pPr>
            <w:r>
              <w:rPr>
                <w:b/>
                <w:sz w:val="25"/>
                <w:szCs w:val="25"/>
              </w:rPr>
              <w:t>In Grade 8, instructional time should focus on three critical areas: (1) formulating and reasoning about expressions and equations, including modeling an association in bivariate data with a linear equation, and solving linear equations and systems of line</w:t>
            </w:r>
            <w:r>
              <w:rPr>
                <w:b/>
                <w:sz w:val="25"/>
                <w:szCs w:val="25"/>
              </w:rPr>
              <w:t>ar equations; (2) grasping the concept of a function and using functions to describe quantitative relationships; (3) analyzing two- and three-dimensional space and figures using distance, angle, similarity, and congruence, and understanding and applying th</w:t>
            </w:r>
            <w:r>
              <w:rPr>
                <w:b/>
                <w:sz w:val="25"/>
                <w:szCs w:val="25"/>
              </w:rPr>
              <w:t>e Pythagorean Theorem.</w:t>
            </w:r>
          </w:p>
          <w:p w:rsidR="00CC009D" w:rsidRDefault="00CC009D">
            <w:pPr>
              <w:ind w:left="-30" w:right="180"/>
              <w:rPr>
                <w:rFonts w:ascii="Cambria" w:eastAsia="Cambria" w:hAnsi="Cambria" w:cs="Cambria"/>
                <w:sz w:val="22"/>
                <w:szCs w:val="22"/>
              </w:rPr>
            </w:pPr>
          </w:p>
          <w:p w:rsidR="00CC009D" w:rsidRDefault="00CC009D">
            <w:pPr>
              <w:ind w:right="180"/>
              <w:rPr>
                <w:rFonts w:ascii="Cambria" w:eastAsia="Cambria" w:hAnsi="Cambria" w:cs="Cambria"/>
                <w:sz w:val="22"/>
                <w:szCs w:val="22"/>
              </w:rPr>
            </w:pPr>
          </w:p>
        </w:tc>
      </w:tr>
    </w:tbl>
    <w:p w:rsidR="00CC009D" w:rsidRDefault="003801E3">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rsidR="00CC009D" w:rsidRDefault="003801E3">
      <w:pPr>
        <w:ind w:right="180"/>
        <w:rPr>
          <w:rFonts w:ascii="Cambria" w:eastAsia="Cambria" w:hAnsi="Cambria" w:cs="Cambria"/>
          <w:sz w:val="22"/>
          <w:szCs w:val="22"/>
        </w:rPr>
      </w:pPr>
      <w:r>
        <w:rPr>
          <w:rFonts w:ascii="Cambria" w:eastAsia="Cambria" w:hAnsi="Cambria" w:cs="Cambria"/>
          <w:sz w:val="22"/>
          <w:szCs w:val="22"/>
        </w:rPr>
        <w:t>Students who successfully complete name of course will be competent in the following areas:</w:t>
      </w:r>
    </w:p>
    <w:tbl>
      <w:tblPr>
        <w:tblStyle w:val="a1"/>
        <w:tblW w:w="10422" w:type="dxa"/>
        <w:tblInd w:w="378" w:type="dxa"/>
        <w:tblLayout w:type="fixed"/>
        <w:tblLook w:val="0400" w:firstRow="0" w:lastRow="0" w:firstColumn="0" w:lastColumn="0" w:noHBand="0" w:noVBand="1"/>
      </w:tblPr>
      <w:tblGrid>
        <w:gridCol w:w="10422"/>
      </w:tblGrid>
      <w:tr w:rsidR="00CC009D">
        <w:tc>
          <w:tcPr>
            <w:tcW w:w="10422" w:type="dxa"/>
          </w:tcPr>
          <w:p w:rsidR="00CC009D" w:rsidRDefault="003801E3">
            <w:pPr>
              <w:numPr>
                <w:ilvl w:val="0"/>
                <w:numId w:val="3"/>
              </w:numPr>
              <w:ind w:left="360" w:right="180"/>
            </w:pPr>
            <w:r>
              <w:rPr>
                <w:rFonts w:ascii="Cambria" w:eastAsia="Cambria" w:hAnsi="Cambria" w:cs="Cambria"/>
                <w:sz w:val="22"/>
                <w:szCs w:val="22"/>
              </w:rPr>
              <w:t>Students will be able to Approximate Real Numbers; Perform Real Number Operations</w:t>
            </w:r>
          </w:p>
          <w:p w:rsidR="00CC009D" w:rsidRDefault="003801E3">
            <w:pPr>
              <w:numPr>
                <w:ilvl w:val="0"/>
                <w:numId w:val="3"/>
              </w:numPr>
              <w:ind w:left="360" w:right="180"/>
            </w:pPr>
            <w:r>
              <w:rPr>
                <w:rFonts w:ascii="Cambria" w:eastAsia="Cambria" w:hAnsi="Cambria" w:cs="Cambria"/>
                <w:sz w:val="22"/>
                <w:szCs w:val="22"/>
              </w:rPr>
              <w:t>Students will b</w:t>
            </w:r>
            <w:r>
              <w:rPr>
                <w:rFonts w:ascii="Cambria" w:eastAsia="Cambria" w:hAnsi="Cambria" w:cs="Cambria"/>
                <w:sz w:val="22"/>
                <w:szCs w:val="22"/>
              </w:rPr>
              <w:t>e able to Use Radicals and Integer Exponents; connect proportional relationships and lines; solve systems of linear equations</w:t>
            </w:r>
          </w:p>
          <w:p w:rsidR="00CC009D" w:rsidRDefault="003801E3">
            <w:pPr>
              <w:numPr>
                <w:ilvl w:val="0"/>
                <w:numId w:val="3"/>
              </w:numPr>
              <w:ind w:left="360" w:right="180"/>
            </w:pPr>
            <w:r>
              <w:rPr>
                <w:rFonts w:ascii="Cambria" w:eastAsia="Cambria" w:hAnsi="Cambria" w:cs="Cambria"/>
                <w:sz w:val="22"/>
                <w:szCs w:val="22"/>
              </w:rPr>
              <w:t>Students will be able to define, evaluate and compare functions; model relationships</w:t>
            </w:r>
          </w:p>
          <w:p w:rsidR="00CC009D" w:rsidRDefault="003801E3">
            <w:pPr>
              <w:numPr>
                <w:ilvl w:val="0"/>
                <w:numId w:val="3"/>
              </w:numPr>
              <w:ind w:left="360" w:right="180"/>
            </w:pPr>
            <w:r>
              <w:rPr>
                <w:rFonts w:ascii="Cambria" w:eastAsia="Cambria" w:hAnsi="Cambria" w:cs="Cambria"/>
                <w:sz w:val="22"/>
                <w:szCs w:val="22"/>
              </w:rPr>
              <w:t>Students will be able to understand congruenc</w:t>
            </w:r>
            <w:r>
              <w:rPr>
                <w:rFonts w:ascii="Cambria" w:eastAsia="Cambria" w:hAnsi="Cambria" w:cs="Cambria"/>
                <w:sz w:val="22"/>
                <w:szCs w:val="22"/>
              </w:rPr>
              <w:t>e and similarity; apply the pythagorean theorem; apply volume formulas</w:t>
            </w:r>
          </w:p>
          <w:p w:rsidR="00CC009D" w:rsidRDefault="003801E3">
            <w:pPr>
              <w:numPr>
                <w:ilvl w:val="0"/>
                <w:numId w:val="3"/>
              </w:numPr>
              <w:ind w:left="360" w:right="180"/>
            </w:pPr>
            <w:r>
              <w:rPr>
                <w:rFonts w:ascii="Cambria" w:eastAsia="Cambria" w:hAnsi="Cambria" w:cs="Cambria"/>
                <w:sz w:val="22"/>
                <w:szCs w:val="22"/>
              </w:rPr>
              <w:t>Students will be able to analyze bivariate data</w:t>
            </w:r>
          </w:p>
          <w:p w:rsidR="00CC009D" w:rsidRDefault="00CC009D">
            <w:pPr>
              <w:ind w:left="360" w:right="180"/>
              <w:rPr>
                <w:rFonts w:ascii="Cambria" w:eastAsia="Cambria" w:hAnsi="Cambria" w:cs="Cambria"/>
                <w:sz w:val="22"/>
                <w:szCs w:val="22"/>
              </w:rPr>
            </w:pPr>
          </w:p>
        </w:tc>
      </w:tr>
    </w:tbl>
    <w:p w:rsidR="00CC009D" w:rsidRDefault="003801E3">
      <w:pPr>
        <w:ind w:right="180"/>
        <w:rPr>
          <w:rFonts w:ascii="Cambria" w:eastAsia="Cambria" w:hAnsi="Cambria" w:cs="Cambria"/>
          <w:b/>
          <w:sz w:val="22"/>
          <w:szCs w:val="22"/>
        </w:rPr>
      </w:pPr>
      <w:r>
        <w:rPr>
          <w:rFonts w:ascii="Cambria" w:eastAsia="Cambria" w:hAnsi="Cambria" w:cs="Cambria"/>
          <w:b/>
          <w:sz w:val="22"/>
          <w:szCs w:val="22"/>
        </w:rPr>
        <w:t xml:space="preserve">Course Texts / Online Resources </w:t>
      </w:r>
    </w:p>
    <w:p w:rsidR="00CC009D" w:rsidRDefault="003801E3">
      <w:pPr>
        <w:ind w:left="720" w:right="180"/>
        <w:rPr>
          <w:rFonts w:ascii="Cambria" w:eastAsia="Cambria" w:hAnsi="Cambria" w:cs="Cambria"/>
          <w:sz w:val="22"/>
          <w:szCs w:val="22"/>
        </w:rPr>
      </w:pPr>
      <w:r>
        <w:rPr>
          <w:rFonts w:ascii="Cambria" w:eastAsia="Cambria" w:hAnsi="Cambria" w:cs="Cambria"/>
          <w:sz w:val="22"/>
          <w:szCs w:val="22"/>
        </w:rPr>
        <w:t xml:space="preserve">Big Ideas Math </w:t>
      </w:r>
    </w:p>
    <w:p w:rsidR="00CC009D" w:rsidRDefault="00CC009D">
      <w:pPr>
        <w:ind w:left="720" w:right="180"/>
        <w:rPr>
          <w:rFonts w:ascii="Cambria" w:eastAsia="Cambria" w:hAnsi="Cambria" w:cs="Cambria"/>
          <w:sz w:val="22"/>
          <w:szCs w:val="22"/>
        </w:rPr>
      </w:pPr>
    </w:p>
    <w:p w:rsidR="00CC009D" w:rsidRDefault="00CC009D">
      <w:pPr>
        <w:ind w:right="180" w:firstLine="720"/>
        <w:rPr>
          <w:rFonts w:ascii="Cambria" w:eastAsia="Cambria" w:hAnsi="Cambria" w:cs="Cambria"/>
          <w:b/>
          <w:sz w:val="22"/>
          <w:szCs w:val="22"/>
        </w:rPr>
      </w:pPr>
    </w:p>
    <w:p w:rsidR="00CC009D" w:rsidRDefault="003801E3">
      <w:pPr>
        <w:ind w:right="180"/>
        <w:rPr>
          <w:rFonts w:ascii="Cambria" w:eastAsia="Cambria" w:hAnsi="Cambria" w:cs="Cambria"/>
          <w:b/>
          <w:sz w:val="22"/>
          <w:szCs w:val="22"/>
        </w:rPr>
      </w:pPr>
      <w:r>
        <w:rPr>
          <w:rFonts w:ascii="Cambria" w:eastAsia="Cambria" w:hAnsi="Cambria" w:cs="Cambria"/>
          <w:b/>
          <w:sz w:val="22"/>
          <w:szCs w:val="22"/>
        </w:rPr>
        <w:t>Required Materials</w:t>
      </w:r>
    </w:p>
    <w:p w:rsidR="00CC009D" w:rsidRDefault="003801E3">
      <w:pPr>
        <w:ind w:right="180"/>
        <w:rPr>
          <w:rFonts w:ascii="Cambria" w:eastAsia="Cambria" w:hAnsi="Cambria" w:cs="Cambria"/>
          <w:b/>
          <w:sz w:val="22"/>
          <w:szCs w:val="22"/>
        </w:rPr>
      </w:pPr>
      <w:r>
        <w:rPr>
          <w:rFonts w:ascii="Cambria" w:eastAsia="Cambria" w:hAnsi="Cambria" w:cs="Cambria"/>
          <w:sz w:val="22"/>
          <w:szCs w:val="22"/>
        </w:rPr>
        <w:t>Binder, notebook, pencils, erasers, loose leaf paper for binder, graph paper</w:t>
      </w:r>
    </w:p>
    <w:p w:rsidR="00CC009D" w:rsidRDefault="003801E3">
      <w:pPr>
        <w:ind w:right="180"/>
        <w:rPr>
          <w:rFonts w:ascii="Cambria" w:eastAsia="Cambria" w:hAnsi="Cambria" w:cs="Cambria"/>
          <w:b/>
          <w:sz w:val="22"/>
          <w:szCs w:val="22"/>
        </w:rPr>
      </w:pPr>
      <w:r>
        <w:rPr>
          <w:rFonts w:ascii="Cambria" w:eastAsia="Cambria" w:hAnsi="Cambria" w:cs="Cambria"/>
          <w:b/>
          <w:sz w:val="22"/>
          <w:szCs w:val="22"/>
        </w:rPr>
        <w:t>Attendance Policy</w:t>
      </w:r>
    </w:p>
    <w:p w:rsidR="00CC009D" w:rsidRDefault="003801E3">
      <w:pPr>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Regular and prompt class attendance is an essential part of the educational experience.  The Barnegat Township School District expects students to be responsible</w:t>
      </w:r>
      <w:r>
        <w:rPr>
          <w:rFonts w:ascii="Cambria" w:eastAsia="Cambria" w:hAnsi="Cambria" w:cs="Cambria"/>
          <w:sz w:val="22"/>
          <w:szCs w:val="22"/>
        </w:rPr>
        <w:t xml:space="preserve"> and exercise good judgment regarding attendance and absences.  Students accept full responsibility for ensuring that they complete any/all work missed due to absences.  </w:t>
      </w:r>
    </w:p>
    <w:p w:rsidR="00CC009D" w:rsidRDefault="00CC009D">
      <w:pPr>
        <w:ind w:right="180"/>
        <w:rPr>
          <w:rFonts w:ascii="Cambria" w:eastAsia="Cambria" w:hAnsi="Cambria" w:cs="Cambria"/>
          <w:b/>
          <w:sz w:val="22"/>
          <w:szCs w:val="22"/>
        </w:rPr>
      </w:pPr>
    </w:p>
    <w:p w:rsidR="00CC009D" w:rsidRDefault="003801E3">
      <w:pPr>
        <w:ind w:right="180"/>
        <w:rPr>
          <w:rFonts w:ascii="Cambria" w:eastAsia="Cambria" w:hAnsi="Cambria" w:cs="Cambria"/>
          <w:b/>
          <w:sz w:val="22"/>
          <w:szCs w:val="22"/>
        </w:rPr>
      </w:pPr>
      <w:r>
        <w:br w:type="page"/>
      </w:r>
    </w:p>
    <w:p w:rsidR="00CC009D" w:rsidRDefault="003801E3">
      <w:pPr>
        <w:ind w:right="180"/>
        <w:rPr>
          <w:rFonts w:ascii="Cambria" w:eastAsia="Cambria" w:hAnsi="Cambria" w:cs="Cambria"/>
          <w:b/>
          <w:sz w:val="22"/>
          <w:szCs w:val="22"/>
        </w:rPr>
      </w:pPr>
      <w:r>
        <w:rPr>
          <w:rFonts w:ascii="Cambria" w:eastAsia="Cambria" w:hAnsi="Cambria" w:cs="Cambria"/>
          <w:b/>
          <w:sz w:val="22"/>
          <w:szCs w:val="22"/>
        </w:rPr>
        <w:lastRenderedPageBreak/>
        <w:t xml:space="preserve">Course Topic Outline  </w:t>
      </w:r>
    </w:p>
    <w:p w:rsidR="00CC009D" w:rsidRDefault="003801E3">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rsidR="00CC009D" w:rsidRDefault="00CC009D">
      <w:pPr>
        <w:ind w:right="180"/>
        <w:rPr>
          <w:rFonts w:ascii="Cambria" w:eastAsia="Cambria" w:hAnsi="Cambria" w:cs="Cambria"/>
          <w:sz w:val="22"/>
          <w:szCs w:val="22"/>
        </w:rPr>
      </w:pPr>
    </w:p>
    <w:tbl>
      <w:tblPr>
        <w:tblStyle w:val="a2"/>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7"/>
        <w:gridCol w:w="2970"/>
      </w:tblGrid>
      <w:tr w:rsidR="00CC009D">
        <w:trPr>
          <w:trHeight w:val="240"/>
          <w:jc w:val="center"/>
        </w:trPr>
        <w:tc>
          <w:tcPr>
            <w:tcW w:w="7987" w:type="dxa"/>
            <w:gridSpan w:val="2"/>
            <w:tcMar>
              <w:top w:w="100" w:type="dxa"/>
              <w:left w:w="100" w:type="dxa"/>
              <w:bottom w:w="100" w:type="dxa"/>
              <w:right w:w="100" w:type="dxa"/>
            </w:tcMar>
          </w:tcPr>
          <w:p w:rsidR="00CC009D" w:rsidRDefault="003801E3">
            <w:pPr>
              <w:ind w:right="180"/>
              <w:rPr>
                <w:rFonts w:ascii="Cambria" w:eastAsia="Cambria" w:hAnsi="Cambria" w:cs="Cambria"/>
                <w:sz w:val="22"/>
                <w:szCs w:val="22"/>
              </w:rPr>
            </w:pPr>
            <w:r>
              <w:rPr>
                <w:rFonts w:ascii="Cambria" w:eastAsia="Cambria" w:hAnsi="Cambria" w:cs="Cambria"/>
                <w:b/>
                <w:sz w:val="22"/>
                <w:szCs w:val="22"/>
              </w:rPr>
              <w:t>Content</w:t>
            </w:r>
            <w:r>
              <w:rPr>
                <w:rFonts w:ascii="Cambria" w:eastAsia="Cambria" w:hAnsi="Cambria" w:cs="Cambria"/>
                <w:b/>
                <w:sz w:val="22"/>
                <w:szCs w:val="22"/>
              </w:rPr>
              <w:t xml:space="preserve"> Area: Mathematics</w:t>
            </w:r>
          </w:p>
        </w:tc>
      </w:tr>
      <w:tr w:rsidR="00CC009D">
        <w:trPr>
          <w:jc w:val="center"/>
        </w:trPr>
        <w:tc>
          <w:tcPr>
            <w:tcW w:w="5017" w:type="dxa"/>
            <w:tcMar>
              <w:top w:w="100" w:type="dxa"/>
              <w:left w:w="100" w:type="dxa"/>
              <w:bottom w:w="100" w:type="dxa"/>
              <w:right w:w="100" w:type="dxa"/>
            </w:tcMar>
          </w:tcPr>
          <w:p w:rsidR="00CC009D" w:rsidRDefault="003801E3">
            <w:pPr>
              <w:ind w:right="180"/>
              <w:rPr>
                <w:rFonts w:ascii="Cambria" w:eastAsia="Cambria" w:hAnsi="Cambria" w:cs="Cambria"/>
                <w:sz w:val="22"/>
                <w:szCs w:val="22"/>
              </w:rPr>
            </w:pPr>
            <w:r>
              <w:rPr>
                <w:rFonts w:ascii="Cambria" w:eastAsia="Cambria" w:hAnsi="Cambria" w:cs="Cambria"/>
                <w:b/>
                <w:sz w:val="22"/>
                <w:szCs w:val="22"/>
              </w:rPr>
              <w:t>Course Title: Pre-Algebra</w:t>
            </w:r>
          </w:p>
        </w:tc>
        <w:tc>
          <w:tcPr>
            <w:tcW w:w="2970" w:type="dxa"/>
            <w:tcMar>
              <w:top w:w="100" w:type="dxa"/>
              <w:left w:w="100" w:type="dxa"/>
              <w:bottom w:w="100" w:type="dxa"/>
              <w:right w:w="100" w:type="dxa"/>
            </w:tcMar>
          </w:tcPr>
          <w:p w:rsidR="00CC009D" w:rsidRDefault="003801E3">
            <w:pPr>
              <w:ind w:right="180"/>
              <w:rPr>
                <w:rFonts w:ascii="Cambria" w:eastAsia="Cambria" w:hAnsi="Cambria" w:cs="Cambria"/>
                <w:sz w:val="22"/>
                <w:szCs w:val="22"/>
              </w:rPr>
            </w:pPr>
            <w:r>
              <w:rPr>
                <w:rFonts w:ascii="Cambria" w:eastAsia="Cambria" w:hAnsi="Cambria" w:cs="Cambria"/>
                <w:b/>
                <w:sz w:val="22"/>
                <w:szCs w:val="22"/>
              </w:rPr>
              <w:t>Grade Level: 8</w:t>
            </w:r>
          </w:p>
        </w:tc>
      </w:tr>
      <w:tr w:rsidR="00CC009D">
        <w:trPr>
          <w:jc w:val="center"/>
        </w:trPr>
        <w:tc>
          <w:tcPr>
            <w:tcW w:w="5017" w:type="dxa"/>
            <w:tcBorders>
              <w:top w:val="single" w:sz="18" w:space="0" w:color="000000"/>
            </w:tcBorders>
            <w:shd w:val="clear" w:color="auto" w:fill="auto"/>
            <w:tcMar>
              <w:top w:w="100" w:type="dxa"/>
              <w:left w:w="100" w:type="dxa"/>
              <w:bottom w:w="100" w:type="dxa"/>
              <w:right w:w="100" w:type="dxa"/>
            </w:tcMar>
          </w:tcPr>
          <w:p w:rsidR="00CC009D" w:rsidRDefault="003801E3">
            <w:pPr>
              <w:widowControl w:val="0"/>
            </w:pPr>
            <w:r>
              <w:t>Unit 1:  Exponents, Expressions and Equations</w:t>
            </w:r>
          </w:p>
        </w:tc>
        <w:tc>
          <w:tcPr>
            <w:tcW w:w="2970" w:type="dxa"/>
            <w:tcBorders>
              <w:top w:val="single" w:sz="18" w:space="0" w:color="000000"/>
            </w:tcBorders>
            <w:shd w:val="clear" w:color="auto" w:fill="auto"/>
            <w:tcMar>
              <w:top w:w="100" w:type="dxa"/>
              <w:left w:w="100" w:type="dxa"/>
              <w:bottom w:w="100" w:type="dxa"/>
              <w:right w:w="100" w:type="dxa"/>
            </w:tcMar>
          </w:tcPr>
          <w:p w:rsidR="00CC009D" w:rsidRDefault="003801E3">
            <w:pPr>
              <w:widowControl w:val="0"/>
              <w:jc w:val="center"/>
            </w:pPr>
            <w:r>
              <w:t>50 Days</w:t>
            </w:r>
          </w:p>
        </w:tc>
      </w:tr>
      <w:tr w:rsidR="00CC009D">
        <w:trPr>
          <w:jc w:val="center"/>
        </w:trPr>
        <w:tc>
          <w:tcPr>
            <w:tcW w:w="5017" w:type="dxa"/>
            <w:shd w:val="clear" w:color="auto" w:fill="auto"/>
            <w:tcMar>
              <w:top w:w="100" w:type="dxa"/>
              <w:left w:w="100" w:type="dxa"/>
              <w:bottom w:w="100" w:type="dxa"/>
              <w:right w:w="100" w:type="dxa"/>
            </w:tcMar>
          </w:tcPr>
          <w:p w:rsidR="00CC009D" w:rsidRDefault="003801E3">
            <w:pPr>
              <w:widowControl w:val="0"/>
            </w:pPr>
            <w:r>
              <w:t>Unit 2: The Number System</w:t>
            </w:r>
          </w:p>
        </w:tc>
        <w:tc>
          <w:tcPr>
            <w:tcW w:w="2970" w:type="dxa"/>
            <w:shd w:val="clear" w:color="auto" w:fill="auto"/>
            <w:tcMar>
              <w:top w:w="100" w:type="dxa"/>
              <w:left w:w="100" w:type="dxa"/>
              <w:bottom w:w="100" w:type="dxa"/>
              <w:right w:w="100" w:type="dxa"/>
            </w:tcMar>
          </w:tcPr>
          <w:p w:rsidR="00CC009D" w:rsidRDefault="003801E3">
            <w:pPr>
              <w:widowControl w:val="0"/>
              <w:jc w:val="center"/>
            </w:pPr>
            <w:r>
              <w:t>30 Days</w:t>
            </w:r>
          </w:p>
        </w:tc>
      </w:tr>
      <w:tr w:rsidR="00CC009D">
        <w:trPr>
          <w:jc w:val="center"/>
        </w:trPr>
        <w:tc>
          <w:tcPr>
            <w:tcW w:w="5017" w:type="dxa"/>
            <w:shd w:val="clear" w:color="auto" w:fill="auto"/>
            <w:tcMar>
              <w:top w:w="100" w:type="dxa"/>
              <w:left w:w="100" w:type="dxa"/>
              <w:bottom w:w="100" w:type="dxa"/>
              <w:right w:w="100" w:type="dxa"/>
            </w:tcMar>
          </w:tcPr>
          <w:p w:rsidR="00CC009D" w:rsidRDefault="003801E3">
            <w:pPr>
              <w:widowControl w:val="0"/>
            </w:pPr>
            <w:r>
              <w:t>Unit 3: Functions</w:t>
            </w:r>
          </w:p>
        </w:tc>
        <w:tc>
          <w:tcPr>
            <w:tcW w:w="2970" w:type="dxa"/>
            <w:shd w:val="clear" w:color="auto" w:fill="auto"/>
            <w:tcMar>
              <w:top w:w="100" w:type="dxa"/>
              <w:left w:w="100" w:type="dxa"/>
              <w:bottom w:w="100" w:type="dxa"/>
              <w:right w:w="100" w:type="dxa"/>
            </w:tcMar>
          </w:tcPr>
          <w:p w:rsidR="00CC009D" w:rsidRDefault="003801E3">
            <w:pPr>
              <w:widowControl w:val="0"/>
              <w:jc w:val="center"/>
            </w:pPr>
            <w:r>
              <w:t>30 Days</w:t>
            </w:r>
          </w:p>
        </w:tc>
      </w:tr>
      <w:tr w:rsidR="00CC009D">
        <w:trPr>
          <w:jc w:val="center"/>
        </w:trPr>
        <w:tc>
          <w:tcPr>
            <w:tcW w:w="5017" w:type="dxa"/>
            <w:shd w:val="clear" w:color="auto" w:fill="auto"/>
            <w:tcMar>
              <w:top w:w="100" w:type="dxa"/>
              <w:left w:w="100" w:type="dxa"/>
              <w:bottom w:w="100" w:type="dxa"/>
              <w:right w:w="100" w:type="dxa"/>
            </w:tcMar>
          </w:tcPr>
          <w:p w:rsidR="00CC009D" w:rsidRDefault="003801E3">
            <w:pPr>
              <w:widowControl w:val="0"/>
            </w:pPr>
            <w:r>
              <w:t>Unit 4: Geometry</w:t>
            </w:r>
          </w:p>
        </w:tc>
        <w:tc>
          <w:tcPr>
            <w:tcW w:w="2970" w:type="dxa"/>
            <w:shd w:val="clear" w:color="auto" w:fill="auto"/>
            <w:tcMar>
              <w:top w:w="100" w:type="dxa"/>
              <w:left w:w="100" w:type="dxa"/>
              <w:bottom w:w="100" w:type="dxa"/>
              <w:right w:w="100" w:type="dxa"/>
            </w:tcMar>
          </w:tcPr>
          <w:p w:rsidR="00CC009D" w:rsidRDefault="003801E3">
            <w:pPr>
              <w:widowControl w:val="0"/>
              <w:jc w:val="center"/>
            </w:pPr>
            <w:r>
              <w:t>50 Days</w:t>
            </w:r>
          </w:p>
        </w:tc>
      </w:tr>
      <w:tr w:rsidR="00CC009D">
        <w:trPr>
          <w:jc w:val="center"/>
        </w:trPr>
        <w:tc>
          <w:tcPr>
            <w:tcW w:w="5017" w:type="dxa"/>
            <w:shd w:val="clear" w:color="auto" w:fill="auto"/>
            <w:tcMar>
              <w:top w:w="100" w:type="dxa"/>
              <w:left w:w="100" w:type="dxa"/>
              <w:bottom w:w="100" w:type="dxa"/>
              <w:right w:w="100" w:type="dxa"/>
            </w:tcMar>
          </w:tcPr>
          <w:p w:rsidR="00CC009D" w:rsidRDefault="003801E3">
            <w:pPr>
              <w:widowControl w:val="0"/>
            </w:pPr>
            <w:r>
              <w:t>Unit 5: Bivariate data and data displays</w:t>
            </w:r>
          </w:p>
        </w:tc>
        <w:tc>
          <w:tcPr>
            <w:tcW w:w="2970" w:type="dxa"/>
            <w:shd w:val="clear" w:color="auto" w:fill="auto"/>
            <w:tcMar>
              <w:top w:w="100" w:type="dxa"/>
              <w:left w:w="100" w:type="dxa"/>
              <w:bottom w:w="100" w:type="dxa"/>
              <w:right w:w="100" w:type="dxa"/>
            </w:tcMar>
          </w:tcPr>
          <w:p w:rsidR="00CC009D" w:rsidRDefault="003801E3">
            <w:pPr>
              <w:widowControl w:val="0"/>
              <w:jc w:val="center"/>
            </w:pPr>
            <w:r>
              <w:t>20 Days</w:t>
            </w:r>
          </w:p>
        </w:tc>
      </w:tr>
    </w:tbl>
    <w:p w:rsidR="00CC009D" w:rsidRDefault="00CC009D">
      <w:pPr>
        <w:ind w:right="180"/>
        <w:rPr>
          <w:rFonts w:ascii="Cambria" w:eastAsia="Cambria" w:hAnsi="Cambria" w:cs="Cambria"/>
          <w:sz w:val="22"/>
          <w:szCs w:val="22"/>
        </w:rPr>
      </w:pPr>
    </w:p>
    <w:p w:rsidR="00CC009D" w:rsidRDefault="003801E3">
      <w:pPr>
        <w:ind w:right="180"/>
        <w:rPr>
          <w:rFonts w:ascii="Cambria" w:eastAsia="Cambria" w:hAnsi="Cambria" w:cs="Cambria"/>
          <w:b/>
          <w:sz w:val="22"/>
          <w:szCs w:val="22"/>
        </w:rPr>
      </w:pPr>
      <w:r>
        <w:rPr>
          <w:rFonts w:ascii="Cambria" w:eastAsia="Cambria" w:hAnsi="Cambria" w:cs="Cambria"/>
          <w:b/>
          <w:sz w:val="22"/>
          <w:szCs w:val="22"/>
        </w:rPr>
        <w:t>Student Grades</w:t>
      </w:r>
    </w:p>
    <w:p w:rsidR="00CC009D" w:rsidRDefault="003801E3">
      <w:pPr>
        <w:ind w:left="72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w:t>
      </w:r>
      <w:r>
        <w:rPr>
          <w:rFonts w:ascii="Cambria" w:eastAsia="Cambria" w:hAnsi="Cambria" w:cs="Cambria"/>
          <w:sz w:val="22"/>
          <w:szCs w:val="22"/>
        </w:rPr>
        <w:t xml:space="preserve">five (7) Minor Assessments (explained below).  Homework is graded for completion, and Class Participation is assessed using the district rubric.  </w:t>
      </w:r>
    </w:p>
    <w:p w:rsidR="00CC009D" w:rsidRDefault="00CC009D">
      <w:pPr>
        <w:ind w:left="720" w:right="180"/>
        <w:rPr>
          <w:rFonts w:ascii="Cambria" w:eastAsia="Cambria" w:hAnsi="Cambria" w:cs="Cambria"/>
          <w:sz w:val="22"/>
          <w:szCs w:val="22"/>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CC009D">
        <w:trPr>
          <w:jc w:val="center"/>
        </w:trPr>
        <w:tc>
          <w:tcPr>
            <w:tcW w:w="3558" w:type="dxa"/>
          </w:tcPr>
          <w:p w:rsidR="00CC009D" w:rsidRDefault="003801E3">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CC009D" w:rsidRDefault="003801E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50% of marking period grade</w:t>
            </w:r>
          </w:p>
        </w:tc>
      </w:tr>
      <w:tr w:rsidR="00CC009D">
        <w:trPr>
          <w:jc w:val="center"/>
        </w:trPr>
        <w:tc>
          <w:tcPr>
            <w:tcW w:w="3558" w:type="dxa"/>
          </w:tcPr>
          <w:p w:rsidR="00CC009D" w:rsidRDefault="003801E3">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CC009D" w:rsidRDefault="003801E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30% of marking period grade</w:t>
            </w:r>
          </w:p>
        </w:tc>
      </w:tr>
      <w:tr w:rsidR="00CC009D">
        <w:trPr>
          <w:jc w:val="center"/>
        </w:trPr>
        <w:tc>
          <w:tcPr>
            <w:tcW w:w="3558" w:type="dxa"/>
          </w:tcPr>
          <w:p w:rsidR="00CC009D" w:rsidRDefault="003801E3">
            <w:pPr>
              <w:ind w:left="360" w:right="180"/>
              <w:rPr>
                <w:rFonts w:ascii="Cambria" w:eastAsia="Cambria" w:hAnsi="Cambria" w:cs="Cambria"/>
                <w:b/>
                <w:sz w:val="22"/>
                <w:szCs w:val="22"/>
              </w:rPr>
            </w:pPr>
            <w:r>
              <w:rPr>
                <w:rFonts w:ascii="Cambria" w:eastAsia="Cambria" w:hAnsi="Cambria" w:cs="Cambria"/>
                <w:b/>
                <w:sz w:val="22"/>
                <w:szCs w:val="22"/>
              </w:rPr>
              <w:t>Class Participation</w:t>
            </w:r>
          </w:p>
        </w:tc>
        <w:tc>
          <w:tcPr>
            <w:tcW w:w="830" w:type="dxa"/>
          </w:tcPr>
          <w:p w:rsidR="00CC009D" w:rsidRDefault="003801E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CC009D" w:rsidRDefault="003801E3">
            <w:pPr>
              <w:ind w:left="360" w:right="180"/>
              <w:rPr>
                <w:rFonts w:ascii="Cambria" w:eastAsia="Cambria" w:hAnsi="Cambria" w:cs="Cambria"/>
                <w:sz w:val="22"/>
                <w:szCs w:val="22"/>
              </w:rPr>
            </w:pPr>
            <w:r>
              <w:rPr>
                <w:rFonts w:ascii="Cambria" w:eastAsia="Cambria" w:hAnsi="Cambria" w:cs="Cambria"/>
                <w:sz w:val="22"/>
                <w:szCs w:val="22"/>
              </w:rPr>
              <w:t>20% of marking period grade</w:t>
            </w:r>
          </w:p>
        </w:tc>
      </w:tr>
    </w:tbl>
    <w:p w:rsidR="00CC009D" w:rsidRDefault="00CC009D">
      <w:pPr>
        <w:ind w:right="180"/>
        <w:rPr>
          <w:rFonts w:ascii="Cambria" w:eastAsia="Cambria" w:hAnsi="Cambria" w:cs="Cambria"/>
          <w:sz w:val="22"/>
          <w:szCs w:val="22"/>
        </w:rPr>
      </w:pPr>
    </w:p>
    <w:p w:rsidR="00CC009D" w:rsidRDefault="003801E3">
      <w:pPr>
        <w:spacing w:after="240"/>
        <w:jc w:val="center"/>
        <w:rPr>
          <w:rFonts w:ascii="Cambria" w:eastAsia="Cambria" w:hAnsi="Cambria" w:cs="Cambria"/>
          <w:b/>
          <w:sz w:val="22"/>
          <w:szCs w:val="22"/>
        </w:rPr>
      </w:pPr>
      <w:r>
        <w:br w:type="page"/>
      </w:r>
    </w:p>
    <w:p w:rsidR="00CC009D" w:rsidRDefault="003801E3">
      <w:pPr>
        <w:spacing w:after="240"/>
        <w:jc w:val="center"/>
        <w:rPr>
          <w:rFonts w:ascii="Cambria" w:eastAsia="Cambria" w:hAnsi="Cambria" w:cs="Cambria"/>
          <w:b/>
          <w:sz w:val="22"/>
          <w:szCs w:val="22"/>
        </w:rPr>
      </w:pPr>
      <w:r>
        <w:rPr>
          <w:rFonts w:ascii="Cambria" w:eastAsia="Cambria" w:hAnsi="Cambria" w:cs="Cambria"/>
          <w:b/>
          <w:sz w:val="22"/>
          <w:szCs w:val="22"/>
        </w:rPr>
        <w:lastRenderedPageBreak/>
        <w:t>Class Participation Rubric</w:t>
      </w:r>
    </w:p>
    <w:tbl>
      <w:tblPr>
        <w:tblStyle w:val="a4"/>
        <w:tblW w:w="8240" w:type="dxa"/>
        <w:jc w:val="center"/>
        <w:tblLayout w:type="fixed"/>
        <w:tblLook w:val="0400" w:firstRow="0" w:lastRow="0" w:firstColumn="0" w:lastColumn="0" w:noHBand="0" w:noVBand="1"/>
      </w:tblPr>
      <w:tblGrid>
        <w:gridCol w:w="1839"/>
        <w:gridCol w:w="6401"/>
      </w:tblGrid>
      <w:tr w:rsidR="00CC009D">
        <w:trPr>
          <w:jc w:val="center"/>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 xml:space="preserve">Meets or Exceeds </w:t>
            </w:r>
          </w:p>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Expectations</w:t>
            </w:r>
          </w:p>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100 - 93</w:t>
            </w:r>
          </w:p>
        </w:tc>
        <w:tc>
          <w:tcPr>
            <w:tcW w:w="6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sz w:val="21"/>
                <w:szCs w:val="21"/>
              </w:rPr>
              <w:t>The student:</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ensures that the class is a community of respect;  </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consistently arrives prepared for class;</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 xml:space="preserve">voluntarily participates on a consistent basis; </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consistently remains focused and on task;</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 xml:space="preserve">initiates and sustains discussion; </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 xml:space="preserve">evaluates and responds to peer points; </w:t>
            </w:r>
          </w:p>
          <w:p w:rsidR="00CC009D" w:rsidRDefault="003801E3">
            <w:pPr>
              <w:numPr>
                <w:ilvl w:val="0"/>
                <w:numId w:val="6"/>
              </w:numPr>
              <w:pBdr>
                <w:top w:val="nil"/>
                <w:left w:val="nil"/>
                <w:bottom w:val="nil"/>
                <w:right w:val="nil"/>
                <w:between w:val="nil"/>
              </w:pBdr>
              <w:ind w:left="495"/>
            </w:pPr>
            <w:r>
              <w:rPr>
                <w:rFonts w:ascii="Cambria" w:eastAsia="Cambria" w:hAnsi="Cambria" w:cs="Cambria"/>
                <w:sz w:val="21"/>
                <w:szCs w:val="21"/>
              </w:rPr>
              <w:t xml:space="preserve">consistently demonstrates leadership in collaborative activities. </w:t>
            </w:r>
          </w:p>
          <w:p w:rsidR="00CC009D" w:rsidRDefault="00CC009D">
            <w:pPr>
              <w:rPr>
                <w:rFonts w:ascii="Cambria" w:eastAsia="Cambria" w:hAnsi="Cambria" w:cs="Cambria"/>
                <w:sz w:val="21"/>
                <w:szCs w:val="21"/>
              </w:rPr>
            </w:pPr>
          </w:p>
        </w:tc>
      </w:tr>
      <w:tr w:rsidR="00CC009D">
        <w:trPr>
          <w:jc w:val="center"/>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Approaches Expectations</w:t>
            </w:r>
          </w:p>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92 - 85</w:t>
            </w:r>
          </w:p>
        </w:tc>
        <w:tc>
          <w:tcPr>
            <w:tcW w:w="6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sz w:val="21"/>
                <w:szCs w:val="21"/>
              </w:rPr>
              <w:t>The student:</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 xml:space="preserve">recognizes the class as a community of respect; </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usually arrives prepared for class;</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willingly participates on a regular basis;  </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remains focused and on-task on a regular basis;  </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 xml:space="preserve">contributes to discussion on a </w:t>
            </w:r>
            <w:r>
              <w:rPr>
                <w:rFonts w:ascii="Cambria" w:eastAsia="Cambria" w:hAnsi="Cambria" w:cs="Cambria"/>
                <w:sz w:val="21"/>
                <w:szCs w:val="21"/>
              </w:rPr>
              <w:t>regular basis;</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listens to and responds to peer points;</w:t>
            </w:r>
          </w:p>
          <w:p w:rsidR="00CC009D" w:rsidRDefault="003801E3">
            <w:pPr>
              <w:numPr>
                <w:ilvl w:val="0"/>
                <w:numId w:val="7"/>
              </w:numPr>
              <w:pBdr>
                <w:top w:val="nil"/>
                <w:left w:val="nil"/>
                <w:bottom w:val="nil"/>
                <w:right w:val="nil"/>
                <w:between w:val="nil"/>
              </w:pBdr>
              <w:ind w:left="450"/>
            </w:pPr>
            <w:r>
              <w:rPr>
                <w:rFonts w:ascii="Cambria" w:eastAsia="Cambria" w:hAnsi="Cambria" w:cs="Cambria"/>
                <w:sz w:val="21"/>
                <w:szCs w:val="21"/>
              </w:rPr>
              <w:t>contributes to collaborative activities on a consistent basis.</w:t>
            </w:r>
          </w:p>
          <w:p w:rsidR="00CC009D" w:rsidRDefault="00CC009D">
            <w:pPr>
              <w:rPr>
                <w:rFonts w:ascii="Cambria" w:eastAsia="Cambria" w:hAnsi="Cambria" w:cs="Cambria"/>
                <w:sz w:val="21"/>
                <w:szCs w:val="21"/>
              </w:rPr>
            </w:pPr>
          </w:p>
        </w:tc>
      </w:tr>
      <w:tr w:rsidR="00CC009D">
        <w:trPr>
          <w:jc w:val="center"/>
        </w:trPr>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Does Not Meet Expectations</w:t>
            </w:r>
          </w:p>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b/>
                <w:sz w:val="21"/>
                <w:szCs w:val="21"/>
              </w:rPr>
              <w:t>84 - 70</w:t>
            </w:r>
          </w:p>
          <w:p w:rsidR="00CC009D" w:rsidRDefault="00CC009D">
            <w:pPr>
              <w:rPr>
                <w:rFonts w:ascii="Cambria" w:eastAsia="Cambria" w:hAnsi="Cambria" w:cs="Cambria"/>
                <w:sz w:val="21"/>
                <w:szCs w:val="21"/>
              </w:rPr>
            </w:pPr>
          </w:p>
        </w:tc>
        <w:tc>
          <w:tcPr>
            <w:tcW w:w="6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09D" w:rsidRDefault="003801E3">
            <w:pPr>
              <w:pBdr>
                <w:top w:val="nil"/>
                <w:left w:val="nil"/>
                <w:bottom w:val="nil"/>
                <w:right w:val="nil"/>
                <w:between w:val="nil"/>
              </w:pBdr>
              <w:rPr>
                <w:rFonts w:ascii="Cambria" w:eastAsia="Cambria" w:hAnsi="Cambria" w:cs="Cambria"/>
                <w:sz w:val="21"/>
                <w:szCs w:val="21"/>
              </w:rPr>
            </w:pPr>
            <w:r>
              <w:rPr>
                <w:rFonts w:ascii="Cambria" w:eastAsia="Cambria" w:hAnsi="Cambria" w:cs="Cambria"/>
                <w:sz w:val="21"/>
                <w:szCs w:val="21"/>
              </w:rPr>
              <w:t>The student:</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fails to recognize the class as a community of respect;</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frequently arrives unprepared for class;</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 xml:space="preserve">rarely participates, even when called upon; </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 xml:space="preserve">lacks focus and rarely remains on task; </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rarely engages in discussion;</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reacts to peer points rather than responds;</w:t>
            </w:r>
          </w:p>
          <w:p w:rsidR="00CC009D" w:rsidRDefault="003801E3">
            <w:pPr>
              <w:numPr>
                <w:ilvl w:val="0"/>
                <w:numId w:val="1"/>
              </w:numPr>
              <w:pBdr>
                <w:top w:val="nil"/>
                <w:left w:val="nil"/>
                <w:bottom w:val="nil"/>
                <w:right w:val="nil"/>
                <w:between w:val="nil"/>
              </w:pBdr>
              <w:ind w:left="450"/>
            </w:pPr>
            <w:r>
              <w:rPr>
                <w:rFonts w:ascii="Cambria" w:eastAsia="Cambria" w:hAnsi="Cambria" w:cs="Cambria"/>
                <w:sz w:val="21"/>
                <w:szCs w:val="21"/>
              </w:rPr>
              <w:t>rarely engages in collaborative activities.</w:t>
            </w:r>
          </w:p>
          <w:p w:rsidR="00CC009D" w:rsidRDefault="00CC009D">
            <w:pPr>
              <w:rPr>
                <w:rFonts w:ascii="Cambria" w:eastAsia="Cambria" w:hAnsi="Cambria" w:cs="Cambria"/>
                <w:sz w:val="21"/>
                <w:szCs w:val="21"/>
              </w:rPr>
            </w:pPr>
          </w:p>
        </w:tc>
      </w:tr>
    </w:tbl>
    <w:p w:rsidR="00CC009D" w:rsidRDefault="00CC009D">
      <w:pPr>
        <w:ind w:right="180"/>
        <w:rPr>
          <w:rFonts w:ascii="Cambria" w:eastAsia="Cambria" w:hAnsi="Cambria" w:cs="Cambria"/>
          <w:sz w:val="22"/>
          <w:szCs w:val="22"/>
        </w:rPr>
      </w:pPr>
    </w:p>
    <w:p w:rsidR="00CC009D" w:rsidRDefault="003801E3">
      <w:pPr>
        <w:numPr>
          <w:ilvl w:val="0"/>
          <w:numId w:val="5"/>
        </w:numPr>
        <w:pBdr>
          <w:top w:val="nil"/>
          <w:left w:val="nil"/>
          <w:bottom w:val="nil"/>
          <w:right w:val="nil"/>
          <w:between w:val="nil"/>
        </w:pBdr>
        <w:ind w:right="180"/>
        <w:rPr>
          <w:sz w:val="22"/>
          <w:szCs w:val="22"/>
        </w:rPr>
      </w:pPr>
      <w:r>
        <w:rPr>
          <w:rFonts w:ascii="Cambria" w:eastAsia="Cambria" w:hAnsi="Cambria" w:cs="Cambria"/>
          <w:sz w:val="22"/>
          <w:szCs w:val="22"/>
        </w:rPr>
        <w:t xml:space="preserve">Examples of Major Assessments include items that are summative in nature, such as: tests, projects, formal presentations, reports, or any other type of assessment used to capture evidence of learning at the culmination of a unit of study.   </w:t>
      </w:r>
    </w:p>
    <w:p w:rsidR="00CC009D" w:rsidRDefault="003801E3">
      <w:pPr>
        <w:numPr>
          <w:ilvl w:val="0"/>
          <w:numId w:val="5"/>
        </w:numPr>
        <w:pBdr>
          <w:top w:val="nil"/>
          <w:left w:val="nil"/>
          <w:bottom w:val="nil"/>
          <w:right w:val="nil"/>
          <w:between w:val="nil"/>
        </w:pBdr>
        <w:ind w:right="180"/>
        <w:rPr>
          <w:sz w:val="22"/>
          <w:szCs w:val="22"/>
        </w:rPr>
      </w:pPr>
      <w:r>
        <w:rPr>
          <w:rFonts w:ascii="Cambria" w:eastAsia="Cambria" w:hAnsi="Cambria" w:cs="Cambria"/>
          <w:sz w:val="22"/>
          <w:szCs w:val="22"/>
        </w:rPr>
        <w:t xml:space="preserve">Examples of Minor Assessments include items that are formative in nature, such as: quizzes, exit tickets, </w:t>
      </w:r>
      <w:r>
        <w:rPr>
          <w:rFonts w:ascii="Cambria" w:eastAsia="Cambria" w:hAnsi="Cambria" w:cs="Cambria"/>
          <w:sz w:val="22"/>
          <w:szCs w:val="22"/>
        </w:rPr>
        <w:t xml:space="preserve">, collaborative learning, </w:t>
      </w:r>
      <w:r>
        <w:rPr>
          <w:rFonts w:ascii="Cambria" w:eastAsia="Cambria" w:hAnsi="Cambria" w:cs="Cambria"/>
          <w:sz w:val="22"/>
          <w:szCs w:val="22"/>
        </w:rPr>
        <w:t xml:space="preserve">in class worksheets, or any other type of assessment that is diagnostic in nature and used to guide instruction and provide </w:t>
      </w:r>
      <w:r>
        <w:rPr>
          <w:rFonts w:ascii="Cambria" w:eastAsia="Cambria" w:hAnsi="Cambria" w:cs="Cambria"/>
          <w:sz w:val="22"/>
          <w:szCs w:val="22"/>
        </w:rPr>
        <w:t xml:space="preserve">ongoing feedback to students.  </w:t>
      </w:r>
    </w:p>
    <w:p w:rsidR="00CC009D" w:rsidRDefault="003801E3">
      <w:pPr>
        <w:numPr>
          <w:ilvl w:val="0"/>
          <w:numId w:val="5"/>
        </w:numPr>
        <w:pBdr>
          <w:top w:val="nil"/>
          <w:left w:val="nil"/>
          <w:bottom w:val="nil"/>
          <w:right w:val="nil"/>
          <w:between w:val="nil"/>
        </w:pBdr>
        <w:ind w:right="180"/>
        <w:rPr>
          <w:sz w:val="22"/>
          <w:szCs w:val="22"/>
        </w:rPr>
      </w:pPr>
      <w:r>
        <w:rPr>
          <w:rFonts w:ascii="Cambria" w:eastAsia="Cambria" w:hAnsi="Cambria" w:cs="Cambria"/>
          <w:sz w:val="22"/>
          <w:szCs w:val="22"/>
        </w:rPr>
        <w:t xml:space="preserve">Note: grades for individual assignments are entered into Genesis for the marking period in which the assignment is assigned and collected, and not a subsequent marking period.   </w:t>
      </w:r>
    </w:p>
    <w:p w:rsidR="00CC009D" w:rsidRDefault="003801E3">
      <w:pPr>
        <w:numPr>
          <w:ilvl w:val="0"/>
          <w:numId w:val="5"/>
        </w:numPr>
        <w:pBdr>
          <w:top w:val="nil"/>
          <w:left w:val="nil"/>
          <w:bottom w:val="nil"/>
          <w:right w:val="nil"/>
          <w:between w:val="nil"/>
        </w:pBdr>
        <w:ind w:right="180"/>
        <w:rPr>
          <w:sz w:val="22"/>
          <w:szCs w:val="22"/>
        </w:rPr>
      </w:pPr>
      <w:r>
        <w:rPr>
          <w:rFonts w:ascii="Cambria" w:eastAsia="Cambria" w:hAnsi="Cambria" w:cs="Cambria"/>
          <w:sz w:val="22"/>
          <w:szCs w:val="22"/>
        </w:rPr>
        <w:t>Extra Credit will only be available for assig</w:t>
      </w:r>
      <w:r>
        <w:rPr>
          <w:rFonts w:ascii="Cambria" w:eastAsia="Cambria" w:hAnsi="Cambria" w:cs="Cambria"/>
          <w:sz w:val="22"/>
          <w:szCs w:val="22"/>
        </w:rPr>
        <w:t xml:space="preserve">nments that have been approved ahead of time by the teacher and department supervisor.  </w:t>
      </w:r>
    </w:p>
    <w:p w:rsidR="00CC009D" w:rsidRDefault="003801E3">
      <w:pPr>
        <w:numPr>
          <w:ilvl w:val="0"/>
          <w:numId w:val="5"/>
        </w:numPr>
        <w:pBdr>
          <w:top w:val="nil"/>
          <w:left w:val="nil"/>
          <w:bottom w:val="nil"/>
          <w:right w:val="nil"/>
          <w:between w:val="nil"/>
        </w:pBdr>
        <w:ind w:right="180"/>
        <w:rPr>
          <w:b/>
          <w:sz w:val="22"/>
          <w:szCs w:val="22"/>
        </w:rPr>
      </w:pPr>
      <w:r>
        <w:rPr>
          <w:rFonts w:ascii="Cambria" w:eastAsia="Cambria" w:hAnsi="Cambria" w:cs="Cambria"/>
          <w:sz w:val="22"/>
          <w:szCs w:val="22"/>
        </w:rPr>
        <w:t>In this course, it is expected that students will submit only their best work, and teachers reserve the right not to accept work that is substantially below what a stu</w:t>
      </w:r>
      <w:r>
        <w:rPr>
          <w:rFonts w:ascii="Cambria" w:eastAsia="Cambria" w:hAnsi="Cambria" w:cs="Cambria"/>
          <w:sz w:val="22"/>
          <w:szCs w:val="22"/>
        </w:rPr>
        <w:t xml:space="preserve">dent is capable of producing.  </w:t>
      </w:r>
    </w:p>
    <w:p w:rsidR="00CC009D" w:rsidRDefault="00CC009D">
      <w:pPr>
        <w:ind w:right="180"/>
        <w:rPr>
          <w:rFonts w:ascii="Cambria" w:eastAsia="Cambria" w:hAnsi="Cambria" w:cs="Cambria"/>
          <w:b/>
          <w:sz w:val="22"/>
          <w:szCs w:val="22"/>
        </w:rPr>
      </w:pPr>
    </w:p>
    <w:p w:rsidR="00CC009D" w:rsidRDefault="003801E3">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CC009D" w:rsidRDefault="003801E3">
      <w:pPr>
        <w:ind w:left="720" w:right="180"/>
        <w:rPr>
          <w:rFonts w:ascii="Cambria" w:eastAsia="Cambria" w:hAnsi="Cambria" w:cs="Cambria"/>
          <w:sz w:val="22"/>
          <w:szCs w:val="22"/>
        </w:rPr>
      </w:pPr>
      <w:r>
        <w:rPr>
          <w:rFonts w:ascii="Cambria" w:eastAsia="Cambria" w:hAnsi="Cambria" w:cs="Cambria"/>
          <w:sz w:val="22"/>
          <w:szCs w:val="22"/>
        </w:rPr>
        <w:t>The Barnegat Township School District places a strong emphasis on students’ integrity, and the district will not tolerate instances of academic dishonesty.  Plagiarism is the pra</w:t>
      </w:r>
      <w:r>
        <w:rPr>
          <w:rFonts w:ascii="Cambria" w:eastAsia="Cambria" w:hAnsi="Cambria" w:cs="Cambria"/>
          <w:sz w:val="22"/>
          <w:szCs w:val="22"/>
        </w:rPr>
        <w:t>ctice of copying words, sentences, images, or ideas for use in written or oral assessments without giving proper credit to the source.  Cheating is defined as the giving or receiving of illegal help on anything that has been determined by the teacher to be</w:t>
      </w:r>
      <w:r>
        <w:rPr>
          <w:rFonts w:ascii="Cambria" w:eastAsia="Cambria" w:hAnsi="Cambria" w:cs="Cambria"/>
          <w:sz w:val="22"/>
          <w:szCs w:val="22"/>
        </w:rPr>
        <w:t xml:space="preserve"> an individual effort.  Both are considered serious offenses and are subject to consequences described in the Student Handbook and Board Policy #5701.  </w:t>
      </w:r>
    </w:p>
    <w:p w:rsidR="00CC009D" w:rsidRDefault="00CC009D">
      <w:pPr>
        <w:ind w:left="720" w:right="180"/>
        <w:rPr>
          <w:rFonts w:ascii="Cambria" w:eastAsia="Cambria" w:hAnsi="Cambria" w:cs="Cambria"/>
          <w:sz w:val="20"/>
          <w:szCs w:val="20"/>
          <w:u w:val="single"/>
        </w:rPr>
      </w:pPr>
    </w:p>
    <w:p w:rsidR="00CC009D" w:rsidRDefault="003801E3">
      <w:pPr>
        <w:ind w:right="180"/>
        <w:rPr>
          <w:rFonts w:ascii="Cambria" w:eastAsia="Cambria" w:hAnsi="Cambria" w:cs="Cambria"/>
          <w:b/>
          <w:sz w:val="22"/>
          <w:szCs w:val="22"/>
        </w:rPr>
      </w:pPr>
      <w:r>
        <w:rPr>
          <w:rFonts w:ascii="Cambria" w:eastAsia="Cambria" w:hAnsi="Cambria" w:cs="Cambria"/>
          <w:b/>
          <w:sz w:val="22"/>
          <w:szCs w:val="22"/>
        </w:rPr>
        <w:t xml:space="preserve">Classroom Expectations </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lastRenderedPageBreak/>
        <w:t xml:space="preserve">All school rules and policies apply to this class.  </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 xml:space="preserve">The teacher and students </w:t>
      </w:r>
      <w:r>
        <w:rPr>
          <w:rFonts w:ascii="Cambria" w:eastAsia="Cambria" w:hAnsi="Cambria" w:cs="Cambria"/>
          <w:sz w:val="22"/>
          <w:szCs w:val="22"/>
        </w:rPr>
        <w:t xml:space="preserve">will work together for a respectful, safe classroom. </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 xml:space="preserve">Students will come to class on time, prepared, and ready to learn. </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Students will complete all assignments, including homework, by all deadlines.  Make-up work is only accepted after an excused absence.</w:t>
      </w:r>
      <w:r>
        <w:rPr>
          <w:rFonts w:ascii="Cambria" w:eastAsia="Cambria" w:hAnsi="Cambria" w:cs="Cambria"/>
          <w:sz w:val="22"/>
          <w:szCs w:val="22"/>
        </w:rPr>
        <w:t xml:space="preserve">  It is your responsibility to see me for your work before or after school.</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Students will actively participation in class discussions and other activities in order to enhance their learning experiences.</w:t>
      </w:r>
    </w:p>
    <w:p w:rsidR="00CC009D" w:rsidRDefault="003801E3">
      <w:pPr>
        <w:widowControl w:val="0"/>
        <w:numPr>
          <w:ilvl w:val="0"/>
          <w:numId w:val="4"/>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Cell phones, iPods, or any other personal electronic devices are prohibited in class at any time.</w:t>
      </w:r>
    </w:p>
    <w:p w:rsidR="00CC009D" w:rsidRDefault="00CC009D">
      <w:pPr>
        <w:ind w:right="180"/>
        <w:rPr>
          <w:rFonts w:ascii="Cambria" w:eastAsia="Cambria" w:hAnsi="Cambria" w:cs="Cambria"/>
          <w:b/>
          <w:sz w:val="22"/>
          <w:szCs w:val="22"/>
        </w:rPr>
      </w:pPr>
    </w:p>
    <w:p w:rsidR="00CC009D" w:rsidRDefault="003801E3">
      <w:pPr>
        <w:ind w:right="180"/>
        <w:rPr>
          <w:rFonts w:ascii="Cambria" w:eastAsia="Cambria" w:hAnsi="Cambria" w:cs="Cambria"/>
          <w:b/>
          <w:sz w:val="22"/>
          <w:szCs w:val="22"/>
        </w:rPr>
      </w:pPr>
      <w:r>
        <w:rPr>
          <w:rFonts w:ascii="Cambria" w:eastAsia="Cambria" w:hAnsi="Cambria" w:cs="Cambria"/>
          <w:b/>
          <w:sz w:val="22"/>
          <w:szCs w:val="22"/>
        </w:rPr>
        <w:t>Extra Help and Support</w:t>
      </w:r>
    </w:p>
    <w:p w:rsidR="00CC009D" w:rsidRDefault="003801E3">
      <w:pPr>
        <w:ind w:left="720" w:right="180"/>
        <w:rPr>
          <w:rFonts w:ascii="Cambria" w:eastAsia="Cambria" w:hAnsi="Cambria" w:cs="Cambria"/>
          <w:sz w:val="22"/>
          <w:szCs w:val="22"/>
        </w:rPr>
      </w:pPr>
      <w:r>
        <w:rPr>
          <w:rFonts w:ascii="Cambria" w:eastAsia="Cambria" w:hAnsi="Cambria" w:cs="Cambria"/>
          <w:sz w:val="22"/>
          <w:szCs w:val="22"/>
        </w:rPr>
        <w:t>Occasionally, students will require additional help to master the content and skills in this course.  If you need additional help, the</w:t>
      </w:r>
      <w:r>
        <w:rPr>
          <w:rFonts w:ascii="Cambria" w:eastAsia="Cambria" w:hAnsi="Cambria" w:cs="Cambria"/>
          <w:sz w:val="22"/>
          <w:szCs w:val="22"/>
        </w:rPr>
        <w:t>re are a variety of options for you, including:</w:t>
      </w:r>
    </w:p>
    <w:p w:rsidR="00CC009D" w:rsidRDefault="003801E3">
      <w:pPr>
        <w:numPr>
          <w:ilvl w:val="0"/>
          <w:numId w:val="2"/>
        </w:numPr>
        <w:pBdr>
          <w:top w:val="nil"/>
          <w:left w:val="nil"/>
          <w:bottom w:val="nil"/>
          <w:right w:val="nil"/>
          <w:between w:val="nil"/>
        </w:pBdr>
        <w:ind w:right="180"/>
        <w:rPr>
          <w:sz w:val="22"/>
          <w:szCs w:val="22"/>
        </w:rPr>
      </w:pPr>
      <w:r>
        <w:rPr>
          <w:rFonts w:ascii="Cambria" w:eastAsia="Cambria" w:hAnsi="Cambria" w:cs="Cambria"/>
          <w:sz w:val="22"/>
          <w:szCs w:val="22"/>
        </w:rPr>
        <w:t xml:space="preserve">Before/after school help sessions with your teacher </w:t>
      </w:r>
    </w:p>
    <w:p w:rsidR="00CC009D" w:rsidRDefault="003801E3">
      <w:pPr>
        <w:numPr>
          <w:ilvl w:val="0"/>
          <w:numId w:val="2"/>
        </w:numPr>
        <w:pBdr>
          <w:top w:val="nil"/>
          <w:left w:val="nil"/>
          <w:bottom w:val="nil"/>
          <w:right w:val="nil"/>
          <w:between w:val="nil"/>
        </w:pBdr>
        <w:ind w:right="180"/>
        <w:rPr>
          <w:sz w:val="22"/>
          <w:szCs w:val="22"/>
        </w:rPr>
      </w:pPr>
      <w:r>
        <w:rPr>
          <w:rFonts w:ascii="Cambria" w:eastAsia="Cambria" w:hAnsi="Cambria" w:cs="Cambria"/>
          <w:sz w:val="22"/>
          <w:szCs w:val="22"/>
        </w:rPr>
        <w:t xml:space="preserve">Peer tutoring from NHS / NJHS students </w:t>
      </w:r>
    </w:p>
    <w:p w:rsidR="00CC009D" w:rsidRDefault="003801E3">
      <w:pPr>
        <w:numPr>
          <w:ilvl w:val="0"/>
          <w:numId w:val="2"/>
        </w:numPr>
        <w:pBdr>
          <w:top w:val="nil"/>
          <w:left w:val="nil"/>
          <w:bottom w:val="nil"/>
          <w:right w:val="nil"/>
          <w:between w:val="nil"/>
        </w:pBdr>
        <w:ind w:right="180"/>
        <w:rPr>
          <w:sz w:val="22"/>
          <w:szCs w:val="22"/>
        </w:rPr>
      </w:pPr>
      <w:r>
        <w:rPr>
          <w:rFonts w:ascii="Cambria" w:eastAsia="Cambria" w:hAnsi="Cambria" w:cs="Cambria"/>
          <w:sz w:val="22"/>
          <w:szCs w:val="22"/>
        </w:rPr>
        <w:t>Free online tutoring with Brainfuse (available from the Barnegat Library website)</w:t>
      </w:r>
    </w:p>
    <w:p w:rsidR="00CC009D" w:rsidRDefault="003801E3">
      <w:pPr>
        <w:pBdr>
          <w:top w:val="nil"/>
          <w:left w:val="nil"/>
          <w:bottom w:val="nil"/>
          <w:right w:val="nil"/>
          <w:between w:val="nil"/>
        </w:pBdr>
        <w:ind w:left="720" w:right="180" w:hanging="720"/>
        <w:rPr>
          <w:rFonts w:ascii="Cambria" w:eastAsia="Cambria" w:hAnsi="Cambria" w:cs="Cambria"/>
          <w:sz w:val="22"/>
          <w:szCs w:val="22"/>
        </w:rPr>
      </w:pPr>
      <w:bookmarkStart w:id="1" w:name="_gjdgxs" w:colFirst="0" w:colLast="0"/>
      <w:bookmarkEnd w:id="1"/>
      <w:r>
        <w:rPr>
          <w:rFonts w:ascii="Cambria" w:eastAsia="Cambria" w:hAnsi="Cambria" w:cs="Cambria"/>
          <w:sz w:val="22"/>
          <w:szCs w:val="22"/>
        </w:rPr>
        <w:t>As your teacher, I am committed t</w:t>
      </w:r>
      <w:r>
        <w:rPr>
          <w:rFonts w:ascii="Cambria" w:eastAsia="Cambria" w:hAnsi="Cambria" w:cs="Cambria"/>
          <w:sz w:val="22"/>
          <w:szCs w:val="22"/>
        </w:rPr>
        <w:t xml:space="preserve">o your success.   If you need help, please ask!  </w:t>
      </w:r>
    </w:p>
    <w:p w:rsidR="00CC009D" w:rsidRDefault="003801E3">
      <w:pPr>
        <w:ind w:left="360" w:right="180"/>
        <w:rPr>
          <w:rFonts w:ascii="Cambria" w:eastAsia="Cambria" w:hAnsi="Cambria" w:cs="Cambria"/>
          <w:b/>
          <w:sz w:val="22"/>
          <w:szCs w:val="22"/>
        </w:rPr>
      </w:pPr>
      <w:r>
        <w:rPr>
          <w:rFonts w:ascii="Cambria" w:eastAsia="Cambria" w:hAnsi="Cambria" w:cs="Cambria"/>
          <w:b/>
          <w:noProof/>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543675" cy="19050"/>
                        </a:xfrm>
                        <a:prstGeom prst="rect"/>
                        <a:ln/>
                      </pic:spPr>
                    </pic:pic>
                  </a:graphicData>
                </a:graphic>
              </wp:inline>
            </w:drawing>
          </mc:Fallback>
        </mc:AlternateContent>
      </w:r>
    </w:p>
    <w:p w:rsidR="00CC009D" w:rsidRDefault="003801E3">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Pre-Algebra.  </w:t>
      </w:r>
    </w:p>
    <w:p w:rsidR="00CC009D" w:rsidRDefault="00CC009D">
      <w:pPr>
        <w:widowControl w:val="0"/>
        <w:ind w:right="180"/>
        <w:rPr>
          <w:rFonts w:ascii="Cambria" w:eastAsia="Cambria" w:hAnsi="Cambria" w:cs="Cambria"/>
          <w:sz w:val="22"/>
          <w:szCs w:val="22"/>
        </w:rPr>
      </w:pPr>
    </w:p>
    <w:p w:rsidR="00CC009D" w:rsidRDefault="00CC009D">
      <w:pPr>
        <w:widowControl w:val="0"/>
        <w:ind w:left="360" w:right="180"/>
        <w:rPr>
          <w:rFonts w:ascii="Cambria" w:eastAsia="Cambria" w:hAnsi="Cambria" w:cs="Cambria"/>
          <w:sz w:val="22"/>
          <w:szCs w:val="22"/>
        </w:rPr>
      </w:pPr>
    </w:p>
    <w:p w:rsidR="00CC009D" w:rsidRDefault="003801E3">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CC009D" w:rsidRDefault="003801E3">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CC009D" w:rsidRDefault="00CC009D">
      <w:pPr>
        <w:ind w:left="360" w:right="180"/>
        <w:jc w:val="center"/>
        <w:rPr>
          <w:rFonts w:ascii="Cambria" w:eastAsia="Cambria" w:hAnsi="Cambria" w:cs="Cambria"/>
          <w:sz w:val="22"/>
          <w:szCs w:val="22"/>
        </w:rPr>
      </w:pPr>
    </w:p>
    <w:p w:rsidR="00CC009D" w:rsidRDefault="00CC009D">
      <w:pPr>
        <w:ind w:left="360" w:right="180"/>
        <w:jc w:val="center"/>
        <w:rPr>
          <w:rFonts w:ascii="Cambria" w:eastAsia="Cambria" w:hAnsi="Cambria" w:cs="Cambria"/>
          <w:sz w:val="18"/>
          <w:szCs w:val="18"/>
        </w:rPr>
      </w:pPr>
    </w:p>
    <w:p w:rsidR="00CC009D" w:rsidRDefault="00CC009D">
      <w:pPr>
        <w:widowControl w:val="0"/>
        <w:ind w:left="360" w:right="180"/>
        <w:jc w:val="center"/>
        <w:rPr>
          <w:rFonts w:ascii="Cambria" w:eastAsia="Cambria" w:hAnsi="Cambria" w:cs="Cambria"/>
          <w:sz w:val="18"/>
          <w:szCs w:val="18"/>
        </w:rPr>
      </w:pPr>
    </w:p>
    <w:p w:rsidR="00CC009D" w:rsidRDefault="003801E3">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CC009D" w:rsidRDefault="003801E3">
      <w:pPr>
        <w:ind w:left="1440" w:right="180" w:firstLine="720"/>
        <w:rPr>
          <w:rFonts w:ascii="Cambria" w:eastAsia="Cambria" w:hAnsi="Cambria" w:cs="Cambria"/>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sectPr w:rsidR="00CC009D">
      <w:footerReference w:type="defaul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01E3">
      <w:r>
        <w:separator/>
      </w:r>
    </w:p>
  </w:endnote>
  <w:endnote w:type="continuationSeparator" w:id="0">
    <w:p w:rsidR="00000000" w:rsidRDefault="003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9D" w:rsidRDefault="003801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CC009D" w:rsidRDefault="00CC009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01E3">
      <w:r>
        <w:separator/>
      </w:r>
    </w:p>
  </w:footnote>
  <w:footnote w:type="continuationSeparator" w:id="0">
    <w:p w:rsidR="00000000" w:rsidRDefault="0038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E3B32"/>
    <w:multiLevelType w:val="multilevel"/>
    <w:tmpl w:val="444EE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F81B84"/>
    <w:multiLevelType w:val="multilevel"/>
    <w:tmpl w:val="7EE241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70A0DDC"/>
    <w:multiLevelType w:val="multilevel"/>
    <w:tmpl w:val="B66A7EC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CE5DA0"/>
    <w:multiLevelType w:val="multilevel"/>
    <w:tmpl w:val="2F96D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0E67B3"/>
    <w:multiLevelType w:val="multilevel"/>
    <w:tmpl w:val="FD2E5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6B63035"/>
    <w:multiLevelType w:val="multilevel"/>
    <w:tmpl w:val="3C82D4A8"/>
    <w:lvl w:ilvl="0">
      <w:start w:val="1"/>
      <w:numFmt w:val="bullet"/>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6" w15:restartNumberingAfterBreak="0">
    <w:nsid w:val="7E46194F"/>
    <w:multiLevelType w:val="multilevel"/>
    <w:tmpl w:val="40BAA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9D"/>
    <w:rsid w:val="003801E3"/>
    <w:rsid w:val="00CC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3ED"/>
  <w15:docId w15:val="{9A00D817-40A1-4104-8E3A-BB11F2D1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jc w:val="center"/>
      <w:outlineLvl w:val="1"/>
    </w:pPr>
    <w:rPr>
      <w:rFonts w:ascii="Tahoma" w:eastAsia="Tahoma" w:hAnsi="Tahoma" w:cs="Tahom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Rizzo</dc:creator>
  <cp:lastModifiedBy>Derek Rizzo</cp:lastModifiedBy>
  <cp:revision>2</cp:revision>
  <dcterms:created xsi:type="dcterms:W3CDTF">2020-09-01T17:37:00Z</dcterms:created>
  <dcterms:modified xsi:type="dcterms:W3CDTF">2020-09-01T17:37:00Z</dcterms:modified>
</cp:coreProperties>
</file>